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77EBA" w14:textId="77777777" w:rsidR="00752198" w:rsidRDefault="00752198" w:rsidP="00752198">
      <w:pPr>
        <w:jc w:val="center"/>
        <w:rPr>
          <w:b/>
          <w:bCs/>
        </w:rPr>
      </w:pPr>
      <w:r w:rsidRPr="007C1A4F">
        <w:rPr>
          <w:b/>
          <w:bCs/>
        </w:rPr>
        <w:t>Relazione al Preventivo Gestionale per l’Esercizio Finanziario 2026</w:t>
      </w:r>
    </w:p>
    <w:p w14:paraId="11C58136" w14:textId="77777777" w:rsidR="00752198" w:rsidRPr="007C1A4F" w:rsidRDefault="00752198" w:rsidP="00752198">
      <w:pPr>
        <w:jc w:val="center"/>
        <w:rPr>
          <w:b/>
          <w:bCs/>
        </w:rPr>
      </w:pPr>
    </w:p>
    <w:p w14:paraId="60FAADB6" w14:textId="77777777" w:rsidR="00752198" w:rsidRPr="007C1A4F" w:rsidRDefault="00752198" w:rsidP="00752198">
      <w:pPr>
        <w:jc w:val="both"/>
      </w:pPr>
      <w:r w:rsidRPr="00BB631B">
        <w:rPr>
          <w:i/>
          <w:iCs/>
        </w:rPr>
        <w:t>Gentilissime Colleghe e Gentilissimi Colleghi</w:t>
      </w:r>
      <w:r w:rsidRPr="007C1A4F">
        <w:t>,</w:t>
      </w:r>
    </w:p>
    <w:p w14:paraId="0BE708B2" w14:textId="3A0B9425" w:rsidR="00752198" w:rsidRPr="007C1A4F" w:rsidRDefault="00752198" w:rsidP="00752198">
      <w:pPr>
        <w:jc w:val="both"/>
      </w:pPr>
      <w:r w:rsidRPr="007C1A4F">
        <w:t xml:space="preserve">la presente relazione accompagna il </w:t>
      </w:r>
      <w:r w:rsidRPr="007C1A4F">
        <w:rPr>
          <w:i/>
          <w:iCs/>
        </w:rPr>
        <w:t>Preventivo Gestionale per l’esercizio finanziario 2026</w:t>
      </w:r>
      <w:r w:rsidRPr="007C1A4F">
        <w:t xml:space="preserve">, che </w:t>
      </w:r>
      <w:r>
        <w:t>si sottopone</w:t>
      </w:r>
      <w:r w:rsidRPr="007C1A4F">
        <w:t xml:space="preserve"> alla Vostra approvazione, corredato dal </w:t>
      </w:r>
      <w:r w:rsidRPr="007C1A4F">
        <w:rPr>
          <w:i/>
          <w:iCs/>
        </w:rPr>
        <w:t>bilancio pluriennale 2026-2028</w:t>
      </w:r>
      <w:r w:rsidRPr="007C1A4F">
        <w:t>.</w:t>
      </w:r>
    </w:p>
    <w:p w14:paraId="39454585" w14:textId="77777777" w:rsidR="00752198" w:rsidRPr="007C1A4F" w:rsidRDefault="00752198" w:rsidP="00752198">
      <w:pPr>
        <w:jc w:val="both"/>
      </w:pPr>
      <w:r w:rsidRPr="007C1A4F">
        <w:t xml:space="preserve">Ai fini della corretta predisposizione del bilancio previsionale, si è fatto riferimento al </w:t>
      </w:r>
      <w:r w:rsidRPr="007C1A4F">
        <w:rPr>
          <w:b/>
          <w:bCs/>
        </w:rPr>
        <w:t>D.P.R. 27 febbraio 2003, n. 97</w:t>
      </w:r>
      <w:r w:rsidRPr="007C1A4F">
        <w:t xml:space="preserve">, recante </w:t>
      </w:r>
      <w:r w:rsidRPr="007C1A4F">
        <w:rPr>
          <w:i/>
          <w:iCs/>
        </w:rPr>
        <w:t>Regolamento concernente l’amministrazione e la contabilità degli enti pubblici di cui alla Legge 20 marzo 1975, n. 70</w:t>
      </w:r>
      <w:r w:rsidRPr="007C1A4F">
        <w:t>. In conformità agli articoli 4 e 5 del suddetto Regolamento, il bilancio è stato redatto secondo i principi di:</w:t>
      </w:r>
    </w:p>
    <w:p w14:paraId="3188C347" w14:textId="77777777" w:rsidR="00752198" w:rsidRPr="007C1A4F" w:rsidRDefault="00752198" w:rsidP="00752198">
      <w:pPr>
        <w:numPr>
          <w:ilvl w:val="0"/>
          <w:numId w:val="1"/>
        </w:numPr>
        <w:jc w:val="both"/>
      </w:pPr>
      <w:r w:rsidRPr="007C1A4F">
        <w:rPr>
          <w:b/>
          <w:bCs/>
        </w:rPr>
        <w:t>prudenza</w:t>
      </w:r>
      <w:r w:rsidRPr="007C1A4F">
        <w:t>, nella stima delle entrate e nella previsione delle uscite;</w:t>
      </w:r>
    </w:p>
    <w:p w14:paraId="66B84AF7" w14:textId="77777777" w:rsidR="00752198" w:rsidRPr="007C1A4F" w:rsidRDefault="00752198" w:rsidP="00752198">
      <w:pPr>
        <w:numPr>
          <w:ilvl w:val="0"/>
          <w:numId w:val="1"/>
        </w:numPr>
        <w:jc w:val="both"/>
      </w:pPr>
      <w:r w:rsidRPr="007C1A4F">
        <w:rPr>
          <w:b/>
          <w:bCs/>
        </w:rPr>
        <w:t>congruenza agli scopi istituzionali</w:t>
      </w:r>
      <w:r w:rsidRPr="007C1A4F">
        <w:t>, in linea con le finalità dell’Ordine;</w:t>
      </w:r>
    </w:p>
    <w:p w14:paraId="4720CD35" w14:textId="77777777" w:rsidR="00752198" w:rsidRPr="007C1A4F" w:rsidRDefault="00752198" w:rsidP="00752198">
      <w:pPr>
        <w:numPr>
          <w:ilvl w:val="0"/>
          <w:numId w:val="1"/>
        </w:numPr>
        <w:jc w:val="both"/>
      </w:pPr>
      <w:r w:rsidRPr="007C1A4F">
        <w:rPr>
          <w:b/>
          <w:bCs/>
        </w:rPr>
        <w:t>sostenibilità finanziaria</w:t>
      </w:r>
      <w:r w:rsidRPr="007C1A4F">
        <w:t>, garantendo l’equilibrio tra risorse disponibili e impegni programmati.</w:t>
      </w:r>
    </w:p>
    <w:p w14:paraId="506D3E2C" w14:textId="77777777" w:rsidR="00752198" w:rsidRDefault="00752198" w:rsidP="00752198">
      <w:pPr>
        <w:jc w:val="center"/>
        <w:rPr>
          <w:b/>
          <w:bCs/>
          <w:sz w:val="28"/>
          <w:szCs w:val="28"/>
        </w:rPr>
      </w:pPr>
    </w:p>
    <w:p w14:paraId="09F7089C" w14:textId="77777777" w:rsidR="00752198" w:rsidRDefault="00752198" w:rsidP="00752198">
      <w:pPr>
        <w:jc w:val="center"/>
        <w:rPr>
          <w:b/>
          <w:bCs/>
          <w:sz w:val="28"/>
          <w:szCs w:val="28"/>
        </w:rPr>
      </w:pPr>
      <w:r w:rsidRPr="005B57A4">
        <w:rPr>
          <w:b/>
          <w:bCs/>
          <w:sz w:val="28"/>
          <w:szCs w:val="28"/>
        </w:rPr>
        <w:t>Preventivo Finanziario Gestionale</w:t>
      </w:r>
    </w:p>
    <w:p w14:paraId="65120E5A" w14:textId="77777777" w:rsidR="00752198" w:rsidRPr="005B57A4" w:rsidRDefault="00752198" w:rsidP="00752198">
      <w:pPr>
        <w:jc w:val="center"/>
        <w:rPr>
          <w:b/>
          <w:bCs/>
          <w:sz w:val="28"/>
          <w:szCs w:val="28"/>
        </w:rPr>
      </w:pPr>
    </w:p>
    <w:p w14:paraId="00BD900E" w14:textId="77777777" w:rsidR="00752198" w:rsidRPr="00DD344A" w:rsidRDefault="00752198" w:rsidP="00752198">
      <w:pPr>
        <w:rPr>
          <w:i/>
          <w:iCs/>
          <w:u w:val="single"/>
        </w:rPr>
      </w:pPr>
      <w:r w:rsidRPr="00DD344A">
        <w:rPr>
          <w:i/>
          <w:iCs/>
          <w:u w:val="single"/>
        </w:rPr>
        <w:t>ENTRATE</w:t>
      </w:r>
    </w:p>
    <w:p w14:paraId="034C1825" w14:textId="77777777" w:rsidR="00752198" w:rsidRPr="00DD344A" w:rsidRDefault="00752198" w:rsidP="00752198">
      <w:pPr>
        <w:jc w:val="both"/>
        <w:rPr>
          <w:b/>
          <w:bCs/>
          <w:i/>
          <w:iCs/>
        </w:rPr>
      </w:pPr>
      <w:r w:rsidRPr="00DD344A">
        <w:rPr>
          <w:b/>
          <w:bCs/>
          <w:i/>
          <w:iCs/>
        </w:rPr>
        <w:t>Entrate Correnti</w:t>
      </w:r>
    </w:p>
    <w:p w14:paraId="1946F99E" w14:textId="2EF4F20C" w:rsidR="00752198" w:rsidRDefault="00752198" w:rsidP="00752198">
      <w:pPr>
        <w:jc w:val="both"/>
      </w:pPr>
      <w:r w:rsidRPr="007C1A4F">
        <w:t xml:space="preserve">Le </w:t>
      </w:r>
      <w:r w:rsidRPr="007C1A4F">
        <w:rPr>
          <w:b/>
          <w:bCs/>
        </w:rPr>
        <w:t>entrate complessive previste</w:t>
      </w:r>
      <w:r>
        <w:rPr>
          <w:b/>
          <w:bCs/>
        </w:rPr>
        <w:t xml:space="preserve"> per l’esercizio 2026</w:t>
      </w:r>
      <w:r w:rsidRPr="007C1A4F">
        <w:t xml:space="preserve"> ammontano a euro</w:t>
      </w:r>
      <w:r w:rsidR="00B52914">
        <w:t xml:space="preserve"> </w:t>
      </w:r>
      <w:r w:rsidR="00B52914" w:rsidRPr="00B52914">
        <w:rPr>
          <w:b/>
          <w:bCs/>
        </w:rPr>
        <w:t>5</w:t>
      </w:r>
      <w:r w:rsidR="00FB2A10">
        <w:rPr>
          <w:b/>
          <w:bCs/>
        </w:rPr>
        <w:t>7.341,20</w:t>
      </w:r>
      <w:r w:rsidR="00B52914">
        <w:t>.</w:t>
      </w:r>
    </w:p>
    <w:p w14:paraId="5A8F741F" w14:textId="15A713E4" w:rsidR="00D51554" w:rsidRPr="007C1A4F" w:rsidRDefault="00D51554" w:rsidP="00D51554">
      <w:pPr>
        <w:jc w:val="both"/>
      </w:pPr>
      <w:r>
        <w:t>Esse</w:t>
      </w:r>
      <w:r w:rsidRPr="007C1A4F">
        <w:t xml:space="preserve"> derivano principalmente dalle </w:t>
      </w:r>
      <w:r w:rsidRPr="00E70097">
        <w:rPr>
          <w:b/>
          <w:bCs/>
          <w:i/>
          <w:iCs/>
        </w:rPr>
        <w:t>quote contributive degli iscritti</w:t>
      </w:r>
      <w:r>
        <w:rPr>
          <w:b/>
          <w:bCs/>
        </w:rPr>
        <w:t xml:space="preserve">, </w:t>
      </w:r>
      <w:r>
        <w:t xml:space="preserve">registrando, infatti, un’entrata pari a </w:t>
      </w:r>
      <w:r w:rsidR="00B52914" w:rsidRPr="00B52914">
        <w:rPr>
          <w:b/>
          <w:bCs/>
        </w:rPr>
        <w:t>54.240,00</w:t>
      </w:r>
      <w:r w:rsidR="00B52914">
        <w:rPr>
          <w:i/>
          <w:iCs/>
        </w:rPr>
        <w:t xml:space="preserve">. </w:t>
      </w:r>
      <w:r w:rsidRPr="007C1A4F">
        <w:t xml:space="preserve"> Il Consiglio ha stimato un numero di </w:t>
      </w:r>
      <w:r w:rsidR="0034136B">
        <w:rPr>
          <w:i/>
          <w:iCs/>
        </w:rPr>
        <w:t>339</w:t>
      </w:r>
      <w:r w:rsidRPr="007C1A4F">
        <w:rPr>
          <w:i/>
          <w:iCs/>
        </w:rPr>
        <w:t xml:space="preserve"> iscritti</w:t>
      </w:r>
      <w:r w:rsidRPr="007C1A4F">
        <w:t xml:space="preserve"> al 1° gennaio 2026, per i quali verranno emessi i bollettini PagoPA nei primi mesi dell’anno.</w:t>
      </w:r>
    </w:p>
    <w:p w14:paraId="0A899114" w14:textId="3AC9D8B1" w:rsidR="00D51554" w:rsidRDefault="00D51554" w:rsidP="00D51554">
      <w:pPr>
        <w:jc w:val="both"/>
      </w:pPr>
      <w:r w:rsidRPr="007C1A4F">
        <w:t xml:space="preserve">In base all’andamento storico, si prevede l’ingresso di </w:t>
      </w:r>
      <w:r w:rsidR="00E00B2E">
        <w:rPr>
          <w:i/>
          <w:iCs/>
        </w:rPr>
        <w:t>10</w:t>
      </w:r>
      <w:r w:rsidRPr="007C1A4F">
        <w:rPr>
          <w:i/>
          <w:iCs/>
        </w:rPr>
        <w:t xml:space="preserve"> nuovi iscritti</w:t>
      </w:r>
      <w:r w:rsidRPr="007C1A4F">
        <w:t xml:space="preserve"> nel corso dell’anno. </w:t>
      </w:r>
      <w:r w:rsidR="00E21F32">
        <w:t>In sede di Assemblea, sarà proposto l’aumento a € 180,00 dell</w:t>
      </w:r>
      <w:r w:rsidRPr="007C1A4F">
        <w:t>a quota annuale per ciascun iscritto</w:t>
      </w:r>
      <w:r w:rsidR="00E21F32">
        <w:t>,</w:t>
      </w:r>
      <w:r w:rsidR="00B63DED">
        <w:t xml:space="preserve"> </w:t>
      </w:r>
      <w:r w:rsidR="00E21F32">
        <w:t xml:space="preserve">che attualmente è di </w:t>
      </w:r>
      <w:r w:rsidRPr="007C1A4F">
        <w:t xml:space="preserve">euro </w:t>
      </w:r>
      <w:r w:rsidR="00886446" w:rsidRPr="00EE0D51">
        <w:rPr>
          <w:i/>
          <w:iCs/>
        </w:rPr>
        <w:t>1</w:t>
      </w:r>
      <w:r w:rsidR="00D16838" w:rsidRPr="00EE0D51">
        <w:rPr>
          <w:i/>
          <w:iCs/>
        </w:rPr>
        <w:t>6</w:t>
      </w:r>
      <w:r w:rsidR="00886446" w:rsidRPr="00EE0D51">
        <w:rPr>
          <w:i/>
          <w:iCs/>
        </w:rPr>
        <w:t>0,00</w:t>
      </w:r>
      <w:r w:rsidR="00DD32CB">
        <w:rPr>
          <w:i/>
          <w:iCs/>
        </w:rPr>
        <w:t xml:space="preserve">, </w:t>
      </w:r>
      <w:r w:rsidR="00E21F32">
        <w:rPr>
          <w:i/>
          <w:iCs/>
        </w:rPr>
        <w:t>per cui prudenzialmente si mantiene lo stesso valore in entrata dello scorso anno.</w:t>
      </w:r>
      <w:r w:rsidRPr="007C1A4F">
        <w:t xml:space="preserve"> Si evidenzia che, per il 2026, l’Ordine verserà alla </w:t>
      </w:r>
      <w:r w:rsidRPr="007C1A4F">
        <w:rPr>
          <w:b/>
          <w:bCs/>
        </w:rPr>
        <w:t>Federazione degli Ordini dei Farmacisti Italiani</w:t>
      </w:r>
      <w:r w:rsidRPr="007C1A4F">
        <w:t xml:space="preserve"> un contributo pari a euro </w:t>
      </w:r>
      <w:r w:rsidRPr="007C1A4F">
        <w:rPr>
          <w:b/>
          <w:bCs/>
        </w:rPr>
        <w:t>44,00</w:t>
      </w:r>
      <w:r w:rsidRPr="007C1A4F">
        <w:t xml:space="preserve"> per ciascun iscritto</w:t>
      </w:r>
      <w:r w:rsidR="003C3645">
        <w:t>.</w:t>
      </w:r>
    </w:p>
    <w:p w14:paraId="5C91363B" w14:textId="77777777" w:rsidR="00B52914" w:rsidRPr="00E70097" w:rsidRDefault="003C3645" w:rsidP="00B52914">
      <w:pPr>
        <w:jc w:val="both"/>
      </w:pPr>
      <w:r>
        <w:t xml:space="preserve">Nella categoria </w:t>
      </w:r>
      <w:r w:rsidRPr="003D0133">
        <w:rPr>
          <w:b/>
          <w:bCs/>
          <w:i/>
          <w:iCs/>
        </w:rPr>
        <w:t>Partite di giro</w:t>
      </w:r>
      <w:r>
        <w:rPr>
          <w:b/>
          <w:bCs/>
          <w:i/>
          <w:iCs/>
        </w:rPr>
        <w:t xml:space="preserve"> </w:t>
      </w:r>
      <w:r>
        <w:rPr>
          <w:i/>
          <w:iCs/>
        </w:rPr>
        <w:t xml:space="preserve">(capitolo 3) </w:t>
      </w:r>
      <w:r w:rsidR="00B52914">
        <w:t>non si registrano, al momento, variazioni in aumento poiché, non incidono sull’avanzo di amministrazione, essendo interamente compensate da analoghe voci di uscita di pari importo.</w:t>
      </w:r>
    </w:p>
    <w:p w14:paraId="73AB323F" w14:textId="49DA4A1A" w:rsidR="003C3645" w:rsidRDefault="003C3645" w:rsidP="00D51554">
      <w:pPr>
        <w:jc w:val="both"/>
      </w:pPr>
    </w:p>
    <w:p w14:paraId="17CAC0EF" w14:textId="77777777" w:rsidR="00183FC2" w:rsidRDefault="00183FC2" w:rsidP="00D51554">
      <w:pPr>
        <w:jc w:val="both"/>
      </w:pPr>
    </w:p>
    <w:p w14:paraId="7D29DEBD" w14:textId="77777777" w:rsidR="00183FC2" w:rsidRPr="007C1A4F" w:rsidRDefault="00183FC2" w:rsidP="00183FC2">
      <w:pPr>
        <w:rPr>
          <w:u w:val="single"/>
        </w:rPr>
      </w:pPr>
      <w:r w:rsidRPr="007C1A4F">
        <w:rPr>
          <w:u w:val="single"/>
        </w:rPr>
        <w:lastRenderedPageBreak/>
        <w:t>USCITE</w:t>
      </w:r>
    </w:p>
    <w:p w14:paraId="4A52EE99" w14:textId="77777777" w:rsidR="00183FC2" w:rsidRPr="00431F0B" w:rsidRDefault="00183FC2" w:rsidP="00183FC2">
      <w:pPr>
        <w:jc w:val="both"/>
        <w:rPr>
          <w:b/>
          <w:bCs/>
        </w:rPr>
      </w:pPr>
      <w:r w:rsidRPr="00431F0B">
        <w:rPr>
          <w:b/>
          <w:bCs/>
        </w:rPr>
        <w:t>Uscite Correnti</w:t>
      </w:r>
    </w:p>
    <w:p w14:paraId="4E71C1EF" w14:textId="730BA06D" w:rsidR="00183FC2" w:rsidRDefault="00183FC2" w:rsidP="00183FC2">
      <w:pPr>
        <w:jc w:val="both"/>
      </w:pPr>
      <w:r w:rsidRPr="007C1A4F">
        <w:t xml:space="preserve">Le </w:t>
      </w:r>
      <w:r w:rsidRPr="007C1A4F">
        <w:rPr>
          <w:b/>
          <w:bCs/>
        </w:rPr>
        <w:t>uscite complessive</w:t>
      </w:r>
      <w:r w:rsidRPr="007C1A4F">
        <w:t xml:space="preserve"> previste sono pari a </w:t>
      </w:r>
      <w:r w:rsidRPr="00C513EB">
        <w:t>euro</w:t>
      </w:r>
      <w:r w:rsidR="00581B5A">
        <w:t xml:space="preserve"> </w:t>
      </w:r>
      <w:r w:rsidR="00FB2A10" w:rsidRPr="00FB2A10">
        <w:rPr>
          <w:b/>
          <w:bCs/>
        </w:rPr>
        <w:t>57.341,20</w:t>
      </w:r>
      <w:r w:rsidR="00FB2A10" w:rsidRPr="00FB2A10">
        <w:t>.</w:t>
      </w:r>
    </w:p>
    <w:p w14:paraId="28066C46" w14:textId="10ED287C" w:rsidR="00274708" w:rsidRDefault="00274708" w:rsidP="00183FC2">
      <w:pPr>
        <w:jc w:val="both"/>
      </w:pPr>
      <w:r>
        <w:t>Rispetto all’anno precedente non si registrano variazioni.</w:t>
      </w:r>
    </w:p>
    <w:p w14:paraId="32C3B288" w14:textId="0B2BEB77" w:rsidR="00AE47F8" w:rsidRDefault="00274708" w:rsidP="00183FC2">
      <w:pPr>
        <w:jc w:val="both"/>
      </w:pPr>
      <w:r>
        <w:t xml:space="preserve">Si ritiene opportuno rilevare che le Categorie che registrano maggiori costi sono la </w:t>
      </w:r>
      <w:r w:rsidR="003C0C04" w:rsidRPr="003C0C04">
        <w:rPr>
          <w:b/>
          <w:bCs/>
        </w:rPr>
        <w:t>C</w:t>
      </w:r>
      <w:r w:rsidR="00537E36" w:rsidRPr="003C0C04">
        <w:rPr>
          <w:b/>
          <w:bCs/>
        </w:rPr>
        <w:t>ategoria</w:t>
      </w:r>
      <w:r w:rsidR="003C0C04" w:rsidRPr="003C0C04">
        <w:rPr>
          <w:b/>
          <w:bCs/>
        </w:rPr>
        <w:t xml:space="preserve"> 2 -</w:t>
      </w:r>
      <w:r w:rsidR="00537E36" w:rsidRPr="00431F0B">
        <w:t xml:space="preserve"> </w:t>
      </w:r>
      <w:r w:rsidR="00537E36" w:rsidRPr="00431F0B">
        <w:rPr>
          <w:b/>
          <w:bCs/>
          <w:i/>
          <w:iCs/>
        </w:rPr>
        <w:t>Oneri per il personale in attività di servizio</w:t>
      </w:r>
      <w:r w:rsidR="00537E36" w:rsidRPr="00431F0B">
        <w:rPr>
          <w:i/>
          <w:iCs/>
        </w:rPr>
        <w:t xml:space="preserve"> (capitolo 1.2)</w:t>
      </w:r>
      <w:r>
        <w:rPr>
          <w:i/>
          <w:iCs/>
        </w:rPr>
        <w:t xml:space="preserve">, </w:t>
      </w:r>
      <w:r>
        <w:t xml:space="preserve">per un importo complessivo pari ad euro </w:t>
      </w:r>
      <w:r w:rsidRPr="00274708">
        <w:rPr>
          <w:b/>
          <w:bCs/>
        </w:rPr>
        <w:t>21.712,00</w:t>
      </w:r>
      <w:r w:rsidR="00DD4461">
        <w:t xml:space="preserve">; </w:t>
      </w:r>
      <w:r w:rsidR="003E43D9">
        <w:t>l</w:t>
      </w:r>
      <w:r w:rsidR="007A068B" w:rsidRPr="00431F0B">
        <w:t xml:space="preserve">a </w:t>
      </w:r>
      <w:r w:rsidR="00510525" w:rsidRPr="00510525">
        <w:rPr>
          <w:b/>
          <w:bCs/>
        </w:rPr>
        <w:t>C</w:t>
      </w:r>
      <w:r w:rsidR="007A068B" w:rsidRPr="00510525">
        <w:rPr>
          <w:b/>
          <w:bCs/>
        </w:rPr>
        <w:t>ategoria</w:t>
      </w:r>
      <w:r w:rsidR="00510525" w:rsidRPr="00510525">
        <w:rPr>
          <w:b/>
          <w:bCs/>
        </w:rPr>
        <w:t xml:space="preserve"> 3 -</w:t>
      </w:r>
      <w:r w:rsidR="007A068B" w:rsidRPr="00431F0B">
        <w:t xml:space="preserve"> </w:t>
      </w:r>
      <w:r w:rsidR="007A068B" w:rsidRPr="00431F0B">
        <w:rPr>
          <w:b/>
          <w:bCs/>
          <w:i/>
          <w:iCs/>
        </w:rPr>
        <w:t>Uscite per l’acquisto di beni di consumo e servizi</w:t>
      </w:r>
      <w:r w:rsidR="007A068B" w:rsidRPr="00431F0B">
        <w:rPr>
          <w:i/>
          <w:iCs/>
        </w:rPr>
        <w:t xml:space="preserve"> (capitolo 1.3)</w:t>
      </w:r>
      <w:r w:rsidR="007A068B">
        <w:t xml:space="preserve">, </w:t>
      </w:r>
      <w:r w:rsidR="00DD4461">
        <w:t>per un importo complessivo pari ad euro</w:t>
      </w:r>
      <w:r w:rsidR="00DD4461">
        <w:rPr>
          <w:b/>
          <w:bCs/>
        </w:rPr>
        <w:t xml:space="preserve"> 10.664</w:t>
      </w:r>
      <w:r w:rsidR="00DD4461" w:rsidRPr="00274708">
        <w:rPr>
          <w:b/>
          <w:bCs/>
        </w:rPr>
        <w:t>,00</w:t>
      </w:r>
      <w:r w:rsidR="00DD4461">
        <w:rPr>
          <w:b/>
          <w:bCs/>
        </w:rPr>
        <w:t xml:space="preserve">, </w:t>
      </w:r>
      <w:r w:rsidR="00DD4461">
        <w:t>considerata, in particolare, la Spese per attività di collaborazione e consulenza</w:t>
      </w:r>
      <w:r w:rsidR="00DD4461">
        <w:rPr>
          <w:b/>
          <w:bCs/>
        </w:rPr>
        <w:t xml:space="preserve">; </w:t>
      </w:r>
      <w:r w:rsidR="00DD4461">
        <w:t xml:space="preserve">la </w:t>
      </w:r>
      <w:r w:rsidR="00DD4461" w:rsidRPr="00595DD8">
        <w:rPr>
          <w:b/>
          <w:bCs/>
        </w:rPr>
        <w:t xml:space="preserve">Categoria </w:t>
      </w:r>
      <w:r w:rsidR="00DD4461">
        <w:rPr>
          <w:b/>
          <w:bCs/>
        </w:rPr>
        <w:t>7</w:t>
      </w:r>
      <w:r w:rsidR="00DD4461" w:rsidRPr="00595DD8">
        <w:rPr>
          <w:b/>
          <w:bCs/>
        </w:rPr>
        <w:t xml:space="preserve"> – Trasferimenti Passivi</w:t>
      </w:r>
      <w:r w:rsidR="00DD4461">
        <w:t xml:space="preserve">, per un importo complessivo pari ad euro </w:t>
      </w:r>
      <w:r w:rsidR="00DD4461">
        <w:rPr>
          <w:b/>
          <w:bCs/>
        </w:rPr>
        <w:t>14.170,20.</w:t>
      </w:r>
    </w:p>
    <w:p w14:paraId="57BE9078" w14:textId="77777777" w:rsidR="00AE47F8" w:rsidRPr="00EE156D" w:rsidRDefault="00AE47F8" w:rsidP="00AE47F8">
      <w:pPr>
        <w:jc w:val="both"/>
        <w:rPr>
          <w:u w:val="single"/>
        </w:rPr>
      </w:pPr>
      <w:r w:rsidRPr="00EE156D">
        <w:rPr>
          <w:u w:val="single"/>
        </w:rPr>
        <w:t>Uscite per Partite di Giro</w:t>
      </w:r>
    </w:p>
    <w:p w14:paraId="44B9431B" w14:textId="77777777" w:rsidR="00AE47F8" w:rsidRPr="007C1A4F" w:rsidRDefault="00AE47F8" w:rsidP="00AE47F8">
      <w:pPr>
        <w:jc w:val="both"/>
      </w:pPr>
      <w:r w:rsidRPr="007C1A4F">
        <w:t xml:space="preserve">Le </w:t>
      </w:r>
      <w:r w:rsidRPr="007C1A4F">
        <w:rPr>
          <w:b/>
          <w:bCs/>
        </w:rPr>
        <w:t>uscite aventi natura di partita di giro</w:t>
      </w:r>
      <w:r>
        <w:rPr>
          <w:b/>
          <w:bCs/>
        </w:rPr>
        <w:t xml:space="preserve"> </w:t>
      </w:r>
      <w:r w:rsidRPr="00431F0B">
        <w:rPr>
          <w:i/>
          <w:iCs/>
        </w:rPr>
        <w:t>(capitolo 3)</w:t>
      </w:r>
      <w:r w:rsidRPr="007C1A4F">
        <w:t xml:space="preserve"> non incidono sull’avanzo di amministrazione, in quanto interamente compensate da entrate di pari importo.</w:t>
      </w:r>
    </w:p>
    <w:p w14:paraId="0D7C0212" w14:textId="77777777" w:rsidR="00500746" w:rsidRPr="00EE156D" w:rsidRDefault="00500746" w:rsidP="00500746">
      <w:pPr>
        <w:rPr>
          <w:u w:val="single"/>
        </w:rPr>
      </w:pPr>
      <w:r w:rsidRPr="00EE156D">
        <w:rPr>
          <w:u w:val="single"/>
        </w:rPr>
        <w:t>Equilibrio Finanziario</w:t>
      </w:r>
    </w:p>
    <w:p w14:paraId="696833DF" w14:textId="77777777" w:rsidR="00500746" w:rsidRDefault="00500746" w:rsidP="00500746">
      <w:pPr>
        <w:jc w:val="both"/>
      </w:pPr>
      <w:r w:rsidRPr="007C1A4F">
        <w:t xml:space="preserve">Il </w:t>
      </w:r>
      <w:r w:rsidRPr="007C1A4F">
        <w:rPr>
          <w:b/>
          <w:bCs/>
        </w:rPr>
        <w:t>preventivo finanziario per il 2026</w:t>
      </w:r>
      <w:r w:rsidRPr="007C1A4F">
        <w:t xml:space="preserve"> presenta un equilibrio tra entrate e uscite, in conformità ai principi contabili e gestionali previsti dalla normativa vigente.</w:t>
      </w:r>
    </w:p>
    <w:p w14:paraId="73C665C9" w14:textId="019C5DE9" w:rsidR="00500746" w:rsidRDefault="00500746" w:rsidP="00500746">
      <w:pPr>
        <w:jc w:val="both"/>
      </w:pPr>
      <w:r>
        <w:t>Del bilancio pluriennale 2026-2028, si allega una proiezione che riporta gli importi in misura analoga all’esercizio finanziario 2026, in quanto costituisce elemento obbligatorio per il bilancio previsionale.</w:t>
      </w:r>
    </w:p>
    <w:p w14:paraId="71D01B91" w14:textId="77777777" w:rsidR="00AE47F8" w:rsidRPr="0074036E" w:rsidRDefault="00AE47F8" w:rsidP="00183FC2">
      <w:pPr>
        <w:jc w:val="both"/>
      </w:pPr>
    </w:p>
    <w:p w14:paraId="4FEF367A" w14:textId="77777777" w:rsidR="00587726" w:rsidRDefault="00587726"/>
    <w:sectPr w:rsidR="005877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B10B5"/>
    <w:multiLevelType w:val="multilevel"/>
    <w:tmpl w:val="62468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0333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855"/>
    <w:rsid w:val="000523BB"/>
    <w:rsid w:val="001019F3"/>
    <w:rsid w:val="00110A34"/>
    <w:rsid w:val="001251A2"/>
    <w:rsid w:val="00164EDA"/>
    <w:rsid w:val="00177B7D"/>
    <w:rsid w:val="00182DE7"/>
    <w:rsid w:val="00183FC2"/>
    <w:rsid w:val="001D4EC3"/>
    <w:rsid w:val="002336D0"/>
    <w:rsid w:val="00274708"/>
    <w:rsid w:val="00275CC3"/>
    <w:rsid w:val="002A4C3D"/>
    <w:rsid w:val="002C2730"/>
    <w:rsid w:val="002C29B9"/>
    <w:rsid w:val="002C4A13"/>
    <w:rsid w:val="0031715C"/>
    <w:rsid w:val="0034136B"/>
    <w:rsid w:val="00351824"/>
    <w:rsid w:val="00394F41"/>
    <w:rsid w:val="003C0C04"/>
    <w:rsid w:val="003C3645"/>
    <w:rsid w:val="003E43D9"/>
    <w:rsid w:val="00453428"/>
    <w:rsid w:val="004A0140"/>
    <w:rsid w:val="004B6B0F"/>
    <w:rsid w:val="004C0986"/>
    <w:rsid w:val="00500746"/>
    <w:rsid w:val="00502A0F"/>
    <w:rsid w:val="00510525"/>
    <w:rsid w:val="00535D9A"/>
    <w:rsid w:val="0053606B"/>
    <w:rsid w:val="00537E36"/>
    <w:rsid w:val="00581B5A"/>
    <w:rsid w:val="00587726"/>
    <w:rsid w:val="005905C1"/>
    <w:rsid w:val="005D5F74"/>
    <w:rsid w:val="005E3A6E"/>
    <w:rsid w:val="005F77FE"/>
    <w:rsid w:val="0060113C"/>
    <w:rsid w:val="0061567E"/>
    <w:rsid w:val="006318B8"/>
    <w:rsid w:val="0063508E"/>
    <w:rsid w:val="006A538B"/>
    <w:rsid w:val="00701F3F"/>
    <w:rsid w:val="0074036E"/>
    <w:rsid w:val="00752198"/>
    <w:rsid w:val="00752ACE"/>
    <w:rsid w:val="0077161E"/>
    <w:rsid w:val="007A068B"/>
    <w:rsid w:val="007F496C"/>
    <w:rsid w:val="008572F5"/>
    <w:rsid w:val="008675A4"/>
    <w:rsid w:val="00883855"/>
    <w:rsid w:val="00886446"/>
    <w:rsid w:val="00941758"/>
    <w:rsid w:val="0098426B"/>
    <w:rsid w:val="009A7529"/>
    <w:rsid w:val="009D7595"/>
    <w:rsid w:val="009F2A9B"/>
    <w:rsid w:val="00A10E4E"/>
    <w:rsid w:val="00A83450"/>
    <w:rsid w:val="00AC4220"/>
    <w:rsid w:val="00AE47F8"/>
    <w:rsid w:val="00B14AD3"/>
    <w:rsid w:val="00B3649F"/>
    <w:rsid w:val="00B44859"/>
    <w:rsid w:val="00B52914"/>
    <w:rsid w:val="00B63DED"/>
    <w:rsid w:val="00B82A09"/>
    <w:rsid w:val="00BC0A67"/>
    <w:rsid w:val="00C467C6"/>
    <w:rsid w:val="00C517FE"/>
    <w:rsid w:val="00C9421C"/>
    <w:rsid w:val="00D1071E"/>
    <w:rsid w:val="00D16838"/>
    <w:rsid w:val="00D51554"/>
    <w:rsid w:val="00D93AF0"/>
    <w:rsid w:val="00DC0776"/>
    <w:rsid w:val="00DD32CB"/>
    <w:rsid w:val="00DD4461"/>
    <w:rsid w:val="00E00B2E"/>
    <w:rsid w:val="00E21F32"/>
    <w:rsid w:val="00E43459"/>
    <w:rsid w:val="00E81508"/>
    <w:rsid w:val="00E97488"/>
    <w:rsid w:val="00EB70BB"/>
    <w:rsid w:val="00EE0D51"/>
    <w:rsid w:val="00F51163"/>
    <w:rsid w:val="00F751EC"/>
    <w:rsid w:val="00FA42CE"/>
    <w:rsid w:val="00FB2A10"/>
    <w:rsid w:val="00FE1C1D"/>
    <w:rsid w:val="00FF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C4062"/>
  <w15:chartTrackingRefBased/>
  <w15:docId w15:val="{9E0A4169-E78A-43BE-805B-A9A542A0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2198"/>
  </w:style>
  <w:style w:type="paragraph" w:styleId="Titolo1">
    <w:name w:val="heading 1"/>
    <w:basedOn w:val="Normale"/>
    <w:next w:val="Normale"/>
    <w:link w:val="Titolo1Carattere"/>
    <w:uiPriority w:val="9"/>
    <w:qFormat/>
    <w:rsid w:val="008838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83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838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838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838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838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838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838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838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838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838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838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8385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8385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8385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8385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8385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8385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838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83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838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838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83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8385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8385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8385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838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8385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838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AFE4A094F9AD498CFE6B659B0543FC" ma:contentTypeVersion="12" ma:contentTypeDescription="Creare un nuovo documento." ma:contentTypeScope="" ma:versionID="4f06c2089df7f493172cff0baca998ba">
  <xsd:schema xmlns:xsd="http://www.w3.org/2001/XMLSchema" xmlns:xs="http://www.w3.org/2001/XMLSchema" xmlns:p="http://schemas.microsoft.com/office/2006/metadata/properties" xmlns:ns2="e2bfafe1-3fae-45d2-bcd0-7e77a0c98298" xmlns:ns3="a51cf2b1-fdd7-4d5a-8414-460e2cc7c788" targetNamespace="http://schemas.microsoft.com/office/2006/metadata/properties" ma:root="true" ma:fieldsID="7a9dee16bc4092a64708a839fc23e0d3" ns2:_="" ns3:_="">
    <xsd:import namespace="e2bfafe1-3fae-45d2-bcd0-7e77a0c98298"/>
    <xsd:import namespace="a51cf2b1-fdd7-4d5a-8414-460e2cc7c7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fafe1-3fae-45d2-bcd0-7e77a0c982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5de59aff-d05f-43cf-8f72-efc37ece42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cf2b1-fdd7-4d5a-8414-460e2cc7c7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9fa4355-45e7-4e5c-b322-07630c3a8a99}" ma:internalName="TaxCatchAll" ma:showField="CatchAllData" ma:web="a51cf2b1-fdd7-4d5a-8414-460e2cc7c7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bfafe1-3fae-45d2-bcd0-7e77a0c98298">
      <Terms xmlns="http://schemas.microsoft.com/office/infopath/2007/PartnerControls"/>
    </lcf76f155ced4ddcb4097134ff3c332f>
    <TaxCatchAll xmlns="a51cf2b1-fdd7-4d5a-8414-460e2cc7c788" xsi:nil="true"/>
  </documentManagement>
</p:properties>
</file>

<file path=customXml/itemProps1.xml><?xml version="1.0" encoding="utf-8"?>
<ds:datastoreItem xmlns:ds="http://schemas.openxmlformats.org/officeDocument/2006/customXml" ds:itemID="{F46AD94B-A48D-4AF7-A630-C75A8495F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bfafe1-3fae-45d2-bcd0-7e77a0c98298"/>
    <ds:schemaRef ds:uri="a51cf2b1-fdd7-4d5a-8414-460e2cc7c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E8156C-C108-4AF7-8F98-3A46B9317A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4AEC0E-55AB-4FB8-8D1D-D2CC67B1555D}">
  <ds:schemaRefs>
    <ds:schemaRef ds:uri="http://schemas.microsoft.com/office/2006/metadata/properties"/>
    <ds:schemaRef ds:uri="http://schemas.microsoft.com/office/infopath/2007/PartnerControls"/>
    <ds:schemaRef ds:uri="e2bfafe1-3fae-45d2-bcd0-7e77a0c98298"/>
    <ds:schemaRef ds:uri="a51cf2b1-fdd7-4d5a-8414-460e2cc7c7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Giannandrea Michela</dc:creator>
  <cp:keywords/>
  <dc:description/>
  <cp:lastModifiedBy>Ordine</cp:lastModifiedBy>
  <cp:revision>94</cp:revision>
  <cp:lastPrinted>2025-12-02T10:00:00Z</cp:lastPrinted>
  <dcterms:created xsi:type="dcterms:W3CDTF">2025-11-13T14:09:00Z</dcterms:created>
  <dcterms:modified xsi:type="dcterms:W3CDTF">2025-12-02T10:02:00Z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0x01010049AFE4A094F9AD498CFE6B659B0543FC</vt:lpwstr>
  </property>
</Properties>
</file>